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32FC2" w:rsidRPr="001E23FE" w:rsidRDefault="00E32FC2" w:rsidP="00E32FC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E32FC2" w:rsidRPr="00E32FC2" w:rsidRDefault="00E32FC2" w:rsidP="00E32FC2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F1115"/>
          <w:sz w:val="36"/>
          <w:szCs w:val="24"/>
          <w:lang w:eastAsia="ru-RU"/>
        </w:rPr>
      </w:pPr>
      <w:r w:rsidRPr="00E32FC2">
        <w:rPr>
          <w:rFonts w:ascii="Times New Roman" w:eastAsia="Times New Roman" w:hAnsi="Times New Roman" w:cs="Times New Roman"/>
          <w:b/>
          <w:bCs/>
          <w:color w:val="0F1115"/>
          <w:sz w:val="36"/>
          <w:szCs w:val="24"/>
          <w:lang w:eastAsia="ru-RU"/>
        </w:rPr>
        <w:t>Тема:</w:t>
      </w:r>
      <w:r w:rsidRPr="00E32FC2">
        <w:rPr>
          <w:rFonts w:ascii="Times New Roman" w:eastAsia="Times New Roman" w:hAnsi="Times New Roman" w:cs="Times New Roman"/>
          <w:color w:val="0F1115"/>
          <w:sz w:val="36"/>
          <w:szCs w:val="24"/>
          <w:lang w:eastAsia="ru-RU"/>
        </w:rPr>
        <w:t> </w:t>
      </w:r>
      <w:r w:rsidRPr="00E32FC2">
        <w:rPr>
          <w:rFonts w:ascii="Times New Roman" w:eastAsia="Times New Roman" w:hAnsi="Times New Roman" w:cs="Times New Roman"/>
          <w:i/>
          <w:color w:val="0F1115"/>
          <w:sz w:val="36"/>
          <w:szCs w:val="24"/>
          <w:lang w:eastAsia="ru-RU"/>
        </w:rPr>
        <w:t>«</w:t>
      </w:r>
      <w:r w:rsidRPr="00E32FC2">
        <w:rPr>
          <w:rStyle w:val="a4"/>
          <w:rFonts w:ascii="Times New Roman" w:hAnsi="Times New Roman" w:cs="Times New Roman"/>
          <w:i w:val="0"/>
          <w:color w:val="0F1115"/>
          <w:sz w:val="36"/>
          <w:szCs w:val="24"/>
          <w:shd w:val="clear" w:color="auto" w:fill="FFFFFF"/>
        </w:rPr>
        <w:t xml:space="preserve">Музыкально-дидактические игры и </w:t>
      </w:r>
      <w:proofErr w:type="spellStart"/>
      <w:r w:rsidRPr="00E32FC2">
        <w:rPr>
          <w:rStyle w:val="a4"/>
          <w:rFonts w:ascii="Times New Roman" w:hAnsi="Times New Roman" w:cs="Times New Roman"/>
          <w:i w:val="0"/>
          <w:color w:val="0F1115"/>
          <w:sz w:val="36"/>
          <w:szCs w:val="24"/>
          <w:shd w:val="clear" w:color="auto" w:fill="FFFFFF"/>
        </w:rPr>
        <w:t>логоритмические</w:t>
      </w:r>
      <w:proofErr w:type="spellEnd"/>
      <w:r w:rsidRPr="00E32FC2">
        <w:rPr>
          <w:rStyle w:val="a4"/>
          <w:rFonts w:ascii="Times New Roman" w:hAnsi="Times New Roman" w:cs="Times New Roman"/>
          <w:i w:val="0"/>
          <w:color w:val="0F1115"/>
          <w:sz w:val="36"/>
          <w:szCs w:val="24"/>
          <w:shd w:val="clear" w:color="auto" w:fill="FFFFFF"/>
        </w:rPr>
        <w:t xml:space="preserve"> упражнения как средство развития речи и подготовки к обучению грамоте</w:t>
      </w:r>
      <w:r w:rsidRPr="00E32FC2">
        <w:rPr>
          <w:rFonts w:ascii="Times New Roman" w:eastAsia="Times New Roman" w:hAnsi="Times New Roman" w:cs="Times New Roman"/>
          <w:i/>
          <w:color w:val="0F1115"/>
          <w:sz w:val="36"/>
          <w:szCs w:val="24"/>
          <w:lang w:eastAsia="ru-RU"/>
        </w:rPr>
        <w:t>»</w:t>
      </w:r>
    </w:p>
    <w:p w:rsidR="00E32FC2" w:rsidRPr="004915EA" w:rsidRDefault="00E32FC2" w:rsidP="00E32FC2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 xml:space="preserve"> </w:t>
      </w:r>
    </w:p>
    <w:p w:rsidR="00E32FC2" w:rsidRDefault="00E32FC2" w:rsidP="00E32FC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32FC2" w:rsidRDefault="00E32FC2" w:rsidP="00E32FC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32FC2" w:rsidRDefault="00E32FC2" w:rsidP="00E32FC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32FC2" w:rsidRDefault="00E32FC2" w:rsidP="00E32FC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32FC2" w:rsidRDefault="00E32FC2" w:rsidP="00E32FC2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E32FC2" w:rsidRDefault="00E32FC2" w:rsidP="00E32FC2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E32FC2" w:rsidRDefault="00E32FC2" w:rsidP="00E32FC2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32FC2" w:rsidRPr="00B61C97" w:rsidRDefault="00E32FC2" w:rsidP="00E32FC2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32FC2" w:rsidRDefault="00E32FC2" w:rsidP="00E32FC2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lastRenderedPageBreak/>
        <w:t>1. Вступление: актуальность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Уважаемые коллеги!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 xml:space="preserve">Сегодня мы говорим о речевом развитии дошкольников и поиске эффективных средств, которые помогут нам в этой работе. С каждым годом увеличивается число детей с речевыми нарушениями: бедный словарь, </w:t>
      </w:r>
      <w:proofErr w:type="spellStart"/>
      <w:r w:rsidRPr="00364992">
        <w:rPr>
          <w:color w:val="0F1115"/>
        </w:rPr>
        <w:t>несформированность</w:t>
      </w:r>
      <w:proofErr w:type="spellEnd"/>
      <w:r w:rsidRPr="00364992">
        <w:rPr>
          <w:color w:val="0F1115"/>
        </w:rPr>
        <w:t xml:space="preserve"> грамматического строя, недостаточное развитие фонематического слуха — всё это мешает успешному овладению грамотой в школе.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Мы знаем, что развитие речи тесно связано с развитием слухового восприятия, чувства ритма, артикуляционного аппарата. И здесь музыка — наш незаменимый помощник. Но сегодня я хочу предложить не просто общие рассуждения, а </w:t>
      </w:r>
      <w:r w:rsidRPr="00364992">
        <w:rPr>
          <w:rStyle w:val="a3"/>
          <w:b w:val="0"/>
          <w:color w:val="0F1115"/>
        </w:rPr>
        <w:t>конкретный инструментарий</w:t>
      </w:r>
      <w:r w:rsidRPr="00364992">
        <w:rPr>
          <w:color w:val="0F1115"/>
        </w:rPr>
        <w:t xml:space="preserve">: авторские музыкально-дидактические игры и </w:t>
      </w:r>
      <w:proofErr w:type="spellStart"/>
      <w:r w:rsidRPr="00364992">
        <w:rPr>
          <w:color w:val="0F1115"/>
        </w:rPr>
        <w:t>логоритмические</w:t>
      </w:r>
      <w:proofErr w:type="spellEnd"/>
      <w:r w:rsidRPr="00364992">
        <w:rPr>
          <w:color w:val="0F1115"/>
        </w:rPr>
        <w:t xml:space="preserve"> упражнения, которые мы используем на наших занятиях и которые можно легко внедрить в работу каждой группы. Они помогут решить те самые задачи, которые мы обсуждаем на этом методическом совете: развитие фонематического слуха, обогащение словаря, формирование слоговой структуры и подготовку к обучению грамоте.</w:t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>2. Обоснование: почему музыкальные игры работают на речь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Напомню лишь несколько ключевых механизмов:</w:t>
      </w:r>
    </w:p>
    <w:p w:rsidR="00364992" w:rsidRPr="00364992" w:rsidRDefault="00364992" w:rsidP="00364992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Ритм</w:t>
      </w:r>
      <w:r w:rsidRPr="00364992">
        <w:rPr>
          <w:color w:val="0F1115"/>
        </w:rPr>
        <w:t> — основа и музыки, и речи. Развитие чувства ритма напрямую влияет на ритмическую организацию речи (деление на слоги, ударение, интонацию).</w:t>
      </w:r>
    </w:p>
    <w:p w:rsidR="00364992" w:rsidRPr="00364992" w:rsidRDefault="00364992" w:rsidP="00364992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Фонематический слух</w:t>
      </w:r>
      <w:r w:rsidRPr="00364992">
        <w:rPr>
          <w:color w:val="0F1115"/>
        </w:rPr>
        <w:t> — способность различать звуки речи — тренируется через различение музыкальных звуков по высоте, тембру, динамике.</w:t>
      </w:r>
    </w:p>
    <w:p w:rsidR="00364992" w:rsidRPr="00364992" w:rsidRDefault="00364992" w:rsidP="00364992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Артикуляция</w:t>
      </w:r>
      <w:r w:rsidRPr="00364992">
        <w:rPr>
          <w:color w:val="0F1115"/>
        </w:rPr>
        <w:t> — пение и звукоподражания укрепляют мышцы речевого аппарата.</w:t>
      </w:r>
    </w:p>
    <w:p w:rsidR="00364992" w:rsidRPr="00364992" w:rsidRDefault="00364992" w:rsidP="00364992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Словарь</w:t>
      </w:r>
      <w:r w:rsidRPr="00364992">
        <w:rPr>
          <w:color w:val="0F1115"/>
        </w:rPr>
        <w:t> — через песни, игры, характеристику музыки дети запоминают и активно используют новые слова, особенно прилагательные и глаголы.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На основе этих механизмов мы создали </w:t>
      </w:r>
      <w:r w:rsidRPr="00364992">
        <w:rPr>
          <w:rStyle w:val="a3"/>
          <w:b w:val="0"/>
          <w:color w:val="0F1115"/>
        </w:rPr>
        <w:t>цикл музыкально-дидактических игр</w:t>
      </w:r>
      <w:r w:rsidRPr="00364992">
        <w:rPr>
          <w:color w:val="0F1115"/>
        </w:rPr>
        <w:t>, которые могут быть использованы как в рамках музыкальных занятий, так и в самостоятельной деятельности детей в группах.</w:t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>3. Музыкально-дидактические игры по возрастам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Предлагаю вашему вниманию </w:t>
      </w:r>
      <w:r w:rsidRPr="00364992">
        <w:rPr>
          <w:rStyle w:val="a3"/>
          <w:b w:val="0"/>
          <w:color w:val="0F1115"/>
        </w:rPr>
        <w:t>авторские разработки</w:t>
      </w:r>
      <w:r w:rsidRPr="00364992">
        <w:rPr>
          <w:color w:val="0F1115"/>
        </w:rPr>
        <w:t> (часть из них — адаптация известных игр с музыкальным сопровождением).</w:t>
      </w:r>
    </w:p>
    <w:p w:rsidR="00364992" w:rsidRPr="00364992" w:rsidRDefault="00364992" w:rsidP="00364992">
      <w:pPr>
        <w:pStyle w:val="5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 w:val="0"/>
          <w:bCs w:val="0"/>
          <w:color w:val="0F1115"/>
          <w:sz w:val="24"/>
          <w:szCs w:val="24"/>
        </w:rPr>
        <w:t>Для групп раннего возраста (до 3 лет)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Здесь основная задача — накопление пассивного словаря, стимуляция звукоподражания и развитие первичного чувства ритма.</w:t>
      </w:r>
    </w:p>
    <w:tbl>
      <w:tblPr>
        <w:tblStyle w:val="a5"/>
        <w:tblW w:w="0" w:type="auto"/>
        <w:tblLook w:val="04A0"/>
      </w:tblPr>
      <w:tblGrid>
        <w:gridCol w:w="1875"/>
        <w:gridCol w:w="2266"/>
        <w:gridCol w:w="2889"/>
        <w:gridCol w:w="2540"/>
      </w:tblGrid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Название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Ход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Связь с речью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«Кто как голос подаёт?»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слухового внимания, звукоподражание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Дети слушают аудиозапись голосов животных и музыкальные звуки, подражают им (</w:t>
            </w:r>
            <w:proofErr w:type="spellStart"/>
            <w:r w:rsidRPr="00364992">
              <w:rPr>
                <w:rFonts w:ascii="Times New Roman" w:hAnsi="Times New Roman" w:cs="Times New Roman"/>
              </w:rPr>
              <w:t>му-у</w:t>
            </w:r>
            <w:proofErr w:type="spellEnd"/>
            <w:r w:rsidRPr="00364992">
              <w:rPr>
                <w:rFonts w:ascii="Times New Roman" w:hAnsi="Times New Roman" w:cs="Times New Roman"/>
              </w:rPr>
              <w:t>, гав-гав, кап-кап).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Активизация звукоподражания, развитие артикуляционного аппарата.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«Спрячь погремушку» (с пением)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Ритмическое восприятие, реакция на начало и конец звучания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Дети прячут погремушку за спину, когда музыка замолкает, и показывают, когда звучит. Сопровождается песенкой «Где же наши ручки?».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Формирование понимания вопросов, ответных действий, речевого сопровождения.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«Ритмические хлопки»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чувства ритма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Педагог хлопает простой ритм (два коротких, один длинный), дети повторяют. Затем передают ритм на погремушках.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Подготовка к восприятию слогового ритма слов.</w:t>
            </w:r>
          </w:p>
        </w:tc>
      </w:tr>
    </w:tbl>
    <w:p w:rsidR="00364992" w:rsidRPr="00364992" w:rsidRDefault="00364992" w:rsidP="00364992">
      <w:pPr>
        <w:pStyle w:val="5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 w:val="0"/>
          <w:bCs w:val="0"/>
          <w:color w:val="0F1115"/>
          <w:sz w:val="24"/>
          <w:szCs w:val="24"/>
        </w:rPr>
        <w:t>Для младшего и среднего возраста (3–5 лет)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Здесь добавляются игры на различение звуков и простейший звуковой анализ.</w:t>
      </w:r>
    </w:p>
    <w:tbl>
      <w:tblPr>
        <w:tblStyle w:val="a5"/>
        <w:tblW w:w="0" w:type="auto"/>
        <w:tblLook w:val="04A0"/>
      </w:tblPr>
      <w:tblGrid>
        <w:gridCol w:w="1762"/>
        <w:gridCol w:w="2072"/>
        <w:gridCol w:w="2906"/>
        <w:gridCol w:w="2830"/>
      </w:tblGrid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Название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Ход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Связь с речью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 xml:space="preserve">«Угадай, на чём </w:t>
            </w:r>
            <w:r w:rsidRPr="00364992">
              <w:rPr>
                <w:rFonts w:ascii="Times New Roman" w:hAnsi="Times New Roman" w:cs="Times New Roman"/>
              </w:rPr>
              <w:lastRenderedPageBreak/>
              <w:t>играю»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lastRenderedPageBreak/>
              <w:t xml:space="preserve">Развитие </w:t>
            </w:r>
            <w:r w:rsidRPr="00364992">
              <w:rPr>
                <w:rFonts w:ascii="Times New Roman" w:hAnsi="Times New Roman" w:cs="Times New Roman"/>
              </w:rPr>
              <w:lastRenderedPageBreak/>
              <w:t>тембрового слуха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lastRenderedPageBreak/>
              <w:t xml:space="preserve">За ширмой звучат разные </w:t>
            </w:r>
            <w:r w:rsidRPr="00364992">
              <w:rPr>
                <w:rFonts w:ascii="Times New Roman" w:hAnsi="Times New Roman" w:cs="Times New Roman"/>
              </w:rPr>
              <w:lastRenderedPageBreak/>
              <w:t>инструменты (барабан, дудочка, колокольчик). Дети угадывают и называют инструмент.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lastRenderedPageBreak/>
              <w:t xml:space="preserve">Обогащение словаря </w:t>
            </w:r>
            <w:r w:rsidRPr="00364992">
              <w:rPr>
                <w:rFonts w:ascii="Times New Roman" w:hAnsi="Times New Roman" w:cs="Times New Roman"/>
              </w:rPr>
              <w:lastRenderedPageBreak/>
              <w:t>названиями инструментов, активизация речевого ответа.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lastRenderedPageBreak/>
              <w:t>«Громко — тихо» (с пением)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динамического слуха, понимание контрастов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Дети поют песенку «Дождик» то громко, то тихо, соответственно жестам педагога.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Формирование умения регулировать громкость голоса, что важно для интонационной выразительности речи.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«Музыкальное эхо»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ритмического слуха и памяти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Педагог прохлопывает ритмический рисунок (2–3 хлопка), дети повторяют как эхо. Позже добавляются слоги: «</w:t>
            </w:r>
            <w:proofErr w:type="spellStart"/>
            <w:proofErr w:type="gramStart"/>
            <w:r w:rsidRPr="00364992">
              <w:rPr>
                <w:rFonts w:ascii="Times New Roman" w:hAnsi="Times New Roman" w:cs="Times New Roman"/>
              </w:rPr>
              <w:t>ма-ма</w:t>
            </w:r>
            <w:proofErr w:type="spellEnd"/>
            <w:proofErr w:type="gramEnd"/>
            <w:r w:rsidRPr="00364992">
              <w:rPr>
                <w:rFonts w:ascii="Times New Roman" w:hAnsi="Times New Roman" w:cs="Times New Roman"/>
              </w:rPr>
              <w:t>», «</w:t>
            </w:r>
            <w:proofErr w:type="spellStart"/>
            <w:r w:rsidRPr="00364992">
              <w:rPr>
                <w:rFonts w:ascii="Times New Roman" w:hAnsi="Times New Roman" w:cs="Times New Roman"/>
              </w:rPr>
              <w:t>па-па</w:t>
            </w:r>
            <w:proofErr w:type="spellEnd"/>
            <w:r w:rsidRPr="00364992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Тренировка воспроизведения ритмической структуры слова, подготовка к слоговому анализу.</w:t>
            </w:r>
          </w:p>
        </w:tc>
      </w:tr>
    </w:tbl>
    <w:p w:rsidR="00364992" w:rsidRPr="00364992" w:rsidRDefault="00364992" w:rsidP="00364992">
      <w:pPr>
        <w:pStyle w:val="5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 w:val="0"/>
          <w:bCs w:val="0"/>
          <w:color w:val="0F1115"/>
          <w:sz w:val="24"/>
          <w:szCs w:val="24"/>
        </w:rPr>
        <w:t>Для старшего и подготовительного возраста (5–7 лет)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 xml:space="preserve">Здесь игры направлены непосредственно на подготовку к обучению грамоте: фонематический слух, </w:t>
      </w:r>
      <w:proofErr w:type="spellStart"/>
      <w:r w:rsidRPr="00364992">
        <w:rPr>
          <w:color w:val="0F1115"/>
        </w:rPr>
        <w:t>звуко-слоговой</w:t>
      </w:r>
      <w:proofErr w:type="spellEnd"/>
      <w:r w:rsidRPr="00364992">
        <w:rPr>
          <w:color w:val="0F1115"/>
        </w:rPr>
        <w:t xml:space="preserve"> анализ, интонационное выделение звуков.</w:t>
      </w:r>
    </w:p>
    <w:tbl>
      <w:tblPr>
        <w:tblStyle w:val="a5"/>
        <w:tblW w:w="0" w:type="auto"/>
        <w:tblLook w:val="04A0"/>
      </w:tblPr>
      <w:tblGrid>
        <w:gridCol w:w="1961"/>
        <w:gridCol w:w="2166"/>
        <w:gridCol w:w="3201"/>
        <w:gridCol w:w="2242"/>
      </w:tblGrid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Название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Ход игры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Связь с грамотой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«Ритмические кубики»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Деление слов на слоги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На кубиках нарисованы картинки (дом, машина, котёнок). Ребёнок прохлопывает ритм слова (количество слогов) и показывает соответствующую цифру.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Формирование слоговой структуры слова, подготовка к звуковому анализу.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«Звуковые цепочки»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фонематического слуха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proofErr w:type="gramStart"/>
            <w:r w:rsidRPr="00364992">
              <w:rPr>
                <w:rFonts w:ascii="Times New Roman" w:hAnsi="Times New Roman" w:cs="Times New Roman"/>
              </w:rPr>
              <w:t>Дети слушают звуки (капает вода, шуршит бумага) и подбирают слова, начинающиеся с того же звука (капля — кошка; шуршит — шапка).</w:t>
            </w:r>
            <w:proofErr w:type="gramEnd"/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Различение звуков речи, подготовка к выделению первого звука в слове.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«Поём гласные»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Выделение гласных звуков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 xml:space="preserve">Педагог произносит слово, дети «поют» только гласные (например, в слове «машина» — </w:t>
            </w:r>
            <w:proofErr w:type="spellStart"/>
            <w:r w:rsidRPr="00364992">
              <w:rPr>
                <w:rFonts w:ascii="Times New Roman" w:hAnsi="Times New Roman" w:cs="Times New Roman"/>
              </w:rPr>
              <w:t>а-и-а</w:t>
            </w:r>
            <w:proofErr w:type="spellEnd"/>
            <w:r w:rsidRPr="00364992">
              <w:rPr>
                <w:rFonts w:ascii="Times New Roman" w:hAnsi="Times New Roman" w:cs="Times New Roman"/>
              </w:rPr>
              <w:t>). Используются цветные фишки для обозначения гласных.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Закрепление понятия «гласный звук», развитие звукового анализа.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«Интонационный диктант»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Работа над интонацией, фразовым ударением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Дети прохлопывают ритм фразы и выделяют главное слово (например, «Миша ест кашу» — хлопают громче на слове «кашу»).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Понимание смысловой роли ударения, подготовка к чтению с интонацией.</w:t>
            </w:r>
          </w:p>
        </w:tc>
      </w:tr>
      <w:tr w:rsidR="00364992" w:rsidRPr="00364992" w:rsidTr="00364992"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«Бумажный оркестр»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Развитие чувства ритма, творческого воображения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Дети создают «инструменты» из бумаги (</w:t>
            </w:r>
            <w:proofErr w:type="spellStart"/>
            <w:r w:rsidRPr="00364992">
              <w:rPr>
                <w:rFonts w:ascii="Times New Roman" w:hAnsi="Times New Roman" w:cs="Times New Roman"/>
              </w:rPr>
              <w:t>шуршалки</w:t>
            </w:r>
            <w:proofErr w:type="spellEnd"/>
            <w:r w:rsidRPr="003649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64992">
              <w:rPr>
                <w:rFonts w:ascii="Times New Roman" w:hAnsi="Times New Roman" w:cs="Times New Roman"/>
              </w:rPr>
              <w:t>стучалки</w:t>
            </w:r>
            <w:proofErr w:type="spellEnd"/>
            <w:r w:rsidRPr="00364992">
              <w:rPr>
                <w:rFonts w:ascii="Times New Roman" w:hAnsi="Times New Roman" w:cs="Times New Roman"/>
              </w:rPr>
              <w:t>) и озвучивают стихотворные ритмические тексты.</w:t>
            </w:r>
          </w:p>
        </w:tc>
        <w:tc>
          <w:tcPr>
            <w:tcW w:w="0" w:type="auto"/>
            <w:hideMark/>
          </w:tcPr>
          <w:p w:rsidR="00364992" w:rsidRPr="00364992" w:rsidRDefault="00364992" w:rsidP="00364992">
            <w:pPr>
              <w:rPr>
                <w:rFonts w:ascii="Times New Roman" w:hAnsi="Times New Roman" w:cs="Times New Roman"/>
              </w:rPr>
            </w:pPr>
            <w:r w:rsidRPr="00364992">
              <w:rPr>
                <w:rFonts w:ascii="Times New Roman" w:hAnsi="Times New Roman" w:cs="Times New Roman"/>
              </w:rPr>
              <w:t>Синхронизация речи и движения, развитие дикции и темпа речи.</w:t>
            </w:r>
          </w:p>
        </w:tc>
      </w:tr>
    </w:tbl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 xml:space="preserve">4. </w:t>
      </w:r>
      <w:proofErr w:type="spellStart"/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>Логоритмические</w:t>
      </w:r>
      <w:proofErr w:type="spellEnd"/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 xml:space="preserve"> упражнения — тоже дидактический инструмент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proofErr w:type="spellStart"/>
      <w:r w:rsidRPr="00364992">
        <w:rPr>
          <w:color w:val="0F1115"/>
        </w:rPr>
        <w:t>Логоритмика</w:t>
      </w:r>
      <w:proofErr w:type="spellEnd"/>
      <w:r w:rsidRPr="00364992">
        <w:rPr>
          <w:color w:val="0F1115"/>
        </w:rPr>
        <w:t xml:space="preserve"> тесно </w:t>
      </w:r>
      <w:proofErr w:type="gramStart"/>
      <w:r w:rsidRPr="00364992">
        <w:rPr>
          <w:color w:val="0F1115"/>
        </w:rPr>
        <w:t>связана</w:t>
      </w:r>
      <w:proofErr w:type="gramEnd"/>
      <w:r w:rsidRPr="00364992">
        <w:rPr>
          <w:color w:val="0F1115"/>
        </w:rPr>
        <w:t xml:space="preserve"> с игровой деятельностью. Мы включаем в занятия упражнения, которые одновременно развивают моторику, речь и музыкальный слух.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rStyle w:val="a4"/>
          <w:color w:val="0F1115"/>
        </w:rPr>
        <w:t>Пример упражнения для старшей группы (на дифференциацию звуков [</w:t>
      </w:r>
      <w:proofErr w:type="gramStart"/>
      <w:r w:rsidRPr="00364992">
        <w:rPr>
          <w:rStyle w:val="a4"/>
          <w:color w:val="0F1115"/>
        </w:rPr>
        <w:t>с</w:t>
      </w:r>
      <w:proofErr w:type="gramEnd"/>
      <w:r w:rsidRPr="00364992">
        <w:rPr>
          <w:rStyle w:val="a4"/>
          <w:color w:val="0F1115"/>
        </w:rPr>
        <w:t>] и [</w:t>
      </w:r>
      <w:proofErr w:type="spellStart"/>
      <w:r w:rsidRPr="00364992">
        <w:rPr>
          <w:rStyle w:val="a4"/>
          <w:color w:val="0F1115"/>
        </w:rPr>
        <w:t>ш</w:t>
      </w:r>
      <w:proofErr w:type="spellEnd"/>
      <w:r w:rsidRPr="00364992">
        <w:rPr>
          <w:rStyle w:val="a4"/>
          <w:color w:val="0F1115"/>
        </w:rPr>
        <w:t>]):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«Шишки-мишки» — дети шагают и проговаривают слова:</w:t>
      </w:r>
    </w:p>
    <w:p w:rsidR="00364992" w:rsidRPr="00364992" w:rsidRDefault="00364992" w:rsidP="00364992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«Шишки, шишки, шишки — у мишки, у мишки» (идут с хлопками на слог «</w:t>
      </w:r>
      <w:proofErr w:type="spellStart"/>
      <w:r w:rsidRPr="00364992">
        <w:rPr>
          <w:color w:val="0F1115"/>
        </w:rPr>
        <w:t>ши</w:t>
      </w:r>
      <w:proofErr w:type="spellEnd"/>
      <w:r w:rsidRPr="00364992">
        <w:rPr>
          <w:color w:val="0F1115"/>
        </w:rPr>
        <w:t>»).</w:t>
      </w:r>
    </w:p>
    <w:p w:rsidR="00364992" w:rsidRPr="00364992" w:rsidRDefault="00364992" w:rsidP="00364992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«Сосиски, сосиски — у киски, у киски» (хлопают на «си»).</w:t>
      </w:r>
      <w:r w:rsidRPr="00364992">
        <w:rPr>
          <w:color w:val="0F1115"/>
        </w:rPr>
        <w:br/>
        <w:t>Такое упражнение помогает различать свистящие и шипящие звуки, а ритмическая структура закрепляет слоговой рисунок.</w:t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lastRenderedPageBreak/>
        <w:t>5. Как использовать эти игры в контексте обучения грамоте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Все представленные игры мы интегрируем в образовательный процесс:</w:t>
      </w:r>
    </w:p>
    <w:p w:rsidR="00364992" w:rsidRPr="00364992" w:rsidRDefault="00364992" w:rsidP="00364992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На музыкальных занятиях</w:t>
      </w:r>
      <w:r w:rsidRPr="00364992">
        <w:rPr>
          <w:color w:val="0F1115"/>
        </w:rPr>
        <w:t> — как этап разминки, закрепление материала.</w:t>
      </w:r>
    </w:p>
    <w:p w:rsidR="00364992" w:rsidRPr="00364992" w:rsidRDefault="00364992" w:rsidP="00364992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В совместной деятельности воспитателя с детьми</w:t>
      </w:r>
      <w:r w:rsidRPr="00364992">
        <w:rPr>
          <w:color w:val="0F1115"/>
        </w:rPr>
        <w:t> — в речевые уголки можно добавлять карточки с ритмическими схемами, аудиозаписи, музыкальные инструменты.</w:t>
      </w:r>
    </w:p>
    <w:p w:rsidR="00364992" w:rsidRPr="00364992" w:rsidRDefault="00364992" w:rsidP="00364992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rStyle w:val="a3"/>
          <w:b w:val="0"/>
          <w:color w:val="0F1115"/>
        </w:rPr>
        <w:t>В самостоятельной деятельности</w:t>
      </w:r>
      <w:r w:rsidRPr="00364992">
        <w:rPr>
          <w:color w:val="0F1115"/>
        </w:rPr>
        <w:t> — создаём центры «Музыкально-речевых игр», где дети могут играть парами или индивидуально.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При этом каждая игра имеет </w:t>
      </w:r>
      <w:r w:rsidRPr="00364992">
        <w:rPr>
          <w:rStyle w:val="a3"/>
          <w:b w:val="0"/>
          <w:color w:val="0F1115"/>
        </w:rPr>
        <w:t>вариативность</w:t>
      </w:r>
      <w:r w:rsidRPr="00364992">
        <w:rPr>
          <w:color w:val="0F1115"/>
        </w:rPr>
        <w:t>:</w:t>
      </w:r>
    </w:p>
    <w:p w:rsidR="00364992" w:rsidRPr="00364992" w:rsidRDefault="00364992" w:rsidP="00364992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Можно использовать без музыкального сопровождения (только хлопки, притопы).</w:t>
      </w:r>
    </w:p>
    <w:p w:rsidR="00364992" w:rsidRPr="00364992" w:rsidRDefault="00364992" w:rsidP="00364992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Можно добавлять пение, что усиливает артикуляционный тренинг.</w:t>
      </w:r>
    </w:p>
    <w:p w:rsidR="00364992" w:rsidRPr="00364992" w:rsidRDefault="00364992" w:rsidP="00364992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Для детей с ОВЗ мы упрощаем ритмические рисунки и используем яркие наглядные подсказки.</w:t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>6. Ожидаемые результаты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Систематическое использование таких игр позволяет: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повысить уровень фонематического восприятия;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улучшить слоговую структуру слов;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обогатить активный словарь образными выражениями;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сформировать первоначальные навыки звукового анализа;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развить интонационную выразительность речи;</w:t>
      </w:r>
    </w:p>
    <w:p w:rsidR="00364992" w:rsidRPr="00364992" w:rsidRDefault="00364992" w:rsidP="00364992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создать положительную мотивацию к речевой деятельности.</w:t>
      </w:r>
    </w:p>
    <w:p w:rsidR="00364992" w:rsidRPr="00364992" w:rsidRDefault="00364992" w:rsidP="00364992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color w:val="0F1115"/>
          <w:sz w:val="24"/>
          <w:szCs w:val="24"/>
        </w:rPr>
      </w:pPr>
      <w:r w:rsidRPr="00364992">
        <w:rPr>
          <w:rStyle w:val="a3"/>
          <w:rFonts w:ascii="Times New Roman" w:hAnsi="Times New Roman" w:cs="Times New Roman"/>
          <w:bCs/>
          <w:color w:val="0F1115"/>
          <w:sz w:val="24"/>
          <w:szCs w:val="24"/>
        </w:rPr>
        <w:t>7. Заключение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Уважаемые коллеги! Музыка — это не только искусство, но и мощный педагогический инструмент. Предложенные мной игры — это </w:t>
      </w:r>
      <w:r w:rsidRPr="00364992">
        <w:rPr>
          <w:rStyle w:val="a3"/>
          <w:b w:val="0"/>
          <w:color w:val="0F1115"/>
        </w:rPr>
        <w:t>авторские находки</w:t>
      </w:r>
      <w:r w:rsidRPr="00364992">
        <w:rPr>
          <w:color w:val="0F1115"/>
        </w:rPr>
        <w:t>, которые мы можем использовать как в чистом виде, так и модифицировать под свои задачи. Они органично вписываются в тему нашего сегодняшнего заседания: это и есть те самые </w:t>
      </w:r>
      <w:r w:rsidRPr="00364992">
        <w:rPr>
          <w:rStyle w:val="a3"/>
          <w:b w:val="0"/>
          <w:color w:val="0F1115"/>
        </w:rPr>
        <w:t>дидактические игровые пособия</w:t>
      </w:r>
      <w:r w:rsidRPr="00364992">
        <w:rPr>
          <w:color w:val="0F1115"/>
        </w:rPr>
        <w:t>, которые помогают решать проблемы речевого развития и готовят детей к обучению грамоте.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Я призываю всех воспитателей активнее применять музыку и ритм в повседневной работе, включать эти игры в режимные моменты, а также создавать совместно с детьми и родителями новые варианты — ведь творчество рождается в сотрудничестве!</w:t>
      </w:r>
    </w:p>
    <w:p w:rsidR="00364992" w:rsidRPr="00364992" w:rsidRDefault="00364992" w:rsidP="00364992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364992">
        <w:rPr>
          <w:color w:val="0F1115"/>
        </w:rPr>
        <w:t>Спасибо за внимание. Готов ответить на вопросы и поделиться дополнительными материалами.</w:t>
      </w:r>
    </w:p>
    <w:p w:rsidR="00116B9F" w:rsidRPr="0083776F" w:rsidRDefault="00116B9F" w:rsidP="0083776F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83776F" w:rsidSect="00C74B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711"/>
    <w:multiLevelType w:val="multilevel"/>
    <w:tmpl w:val="1A4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90A72"/>
    <w:multiLevelType w:val="multilevel"/>
    <w:tmpl w:val="E964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B2F46"/>
    <w:multiLevelType w:val="multilevel"/>
    <w:tmpl w:val="8E6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74E20"/>
    <w:multiLevelType w:val="multilevel"/>
    <w:tmpl w:val="D236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DF2A43"/>
    <w:multiLevelType w:val="multilevel"/>
    <w:tmpl w:val="167C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84C60"/>
    <w:multiLevelType w:val="multilevel"/>
    <w:tmpl w:val="A57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803327"/>
    <w:multiLevelType w:val="multilevel"/>
    <w:tmpl w:val="33E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153650"/>
    <w:multiLevelType w:val="multilevel"/>
    <w:tmpl w:val="C280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4D569A"/>
    <w:multiLevelType w:val="multilevel"/>
    <w:tmpl w:val="2498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8B30C8"/>
    <w:multiLevelType w:val="multilevel"/>
    <w:tmpl w:val="5280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D02B6A"/>
    <w:multiLevelType w:val="multilevel"/>
    <w:tmpl w:val="85EE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928B0"/>
    <w:multiLevelType w:val="multilevel"/>
    <w:tmpl w:val="3B80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5B6CFF"/>
    <w:multiLevelType w:val="multilevel"/>
    <w:tmpl w:val="98DC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A007A9"/>
    <w:multiLevelType w:val="multilevel"/>
    <w:tmpl w:val="3DFE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6872DA"/>
    <w:multiLevelType w:val="multilevel"/>
    <w:tmpl w:val="E28C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872A2A"/>
    <w:multiLevelType w:val="multilevel"/>
    <w:tmpl w:val="882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EF5236"/>
    <w:multiLevelType w:val="multilevel"/>
    <w:tmpl w:val="6FC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742A30"/>
    <w:multiLevelType w:val="multilevel"/>
    <w:tmpl w:val="6FB8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845CD5"/>
    <w:multiLevelType w:val="multilevel"/>
    <w:tmpl w:val="4BC8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433471"/>
    <w:multiLevelType w:val="multilevel"/>
    <w:tmpl w:val="28D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943C21"/>
    <w:multiLevelType w:val="multilevel"/>
    <w:tmpl w:val="E50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504EFD"/>
    <w:multiLevelType w:val="multilevel"/>
    <w:tmpl w:val="254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E04955"/>
    <w:multiLevelType w:val="multilevel"/>
    <w:tmpl w:val="133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516C2D"/>
    <w:multiLevelType w:val="multilevel"/>
    <w:tmpl w:val="B7DCF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57255D"/>
    <w:multiLevelType w:val="multilevel"/>
    <w:tmpl w:val="40B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DD1522"/>
    <w:multiLevelType w:val="multilevel"/>
    <w:tmpl w:val="F1F4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5B7710"/>
    <w:multiLevelType w:val="multilevel"/>
    <w:tmpl w:val="FFE4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692BA5"/>
    <w:multiLevelType w:val="multilevel"/>
    <w:tmpl w:val="3A7C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590845"/>
    <w:multiLevelType w:val="multilevel"/>
    <w:tmpl w:val="C6B4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BC4C81"/>
    <w:multiLevelType w:val="multilevel"/>
    <w:tmpl w:val="776A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8239ED"/>
    <w:multiLevelType w:val="multilevel"/>
    <w:tmpl w:val="0C08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10191B"/>
    <w:multiLevelType w:val="multilevel"/>
    <w:tmpl w:val="D266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2B61C8"/>
    <w:multiLevelType w:val="multilevel"/>
    <w:tmpl w:val="F75C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BE2BF9"/>
    <w:multiLevelType w:val="multilevel"/>
    <w:tmpl w:val="4C52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FC6034"/>
    <w:multiLevelType w:val="multilevel"/>
    <w:tmpl w:val="DCC2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1"/>
  </w:num>
  <w:num w:numId="3">
    <w:abstractNumId w:val="22"/>
  </w:num>
  <w:num w:numId="4">
    <w:abstractNumId w:val="31"/>
  </w:num>
  <w:num w:numId="5">
    <w:abstractNumId w:val="6"/>
  </w:num>
  <w:num w:numId="6">
    <w:abstractNumId w:val="16"/>
  </w:num>
  <w:num w:numId="7">
    <w:abstractNumId w:val="5"/>
  </w:num>
  <w:num w:numId="8">
    <w:abstractNumId w:val="1"/>
  </w:num>
  <w:num w:numId="9">
    <w:abstractNumId w:val="27"/>
  </w:num>
  <w:num w:numId="10">
    <w:abstractNumId w:val="11"/>
  </w:num>
  <w:num w:numId="11">
    <w:abstractNumId w:val="17"/>
  </w:num>
  <w:num w:numId="12">
    <w:abstractNumId w:val="7"/>
  </w:num>
  <w:num w:numId="13">
    <w:abstractNumId w:val="14"/>
  </w:num>
  <w:num w:numId="14">
    <w:abstractNumId w:val="19"/>
  </w:num>
  <w:num w:numId="15">
    <w:abstractNumId w:val="29"/>
  </w:num>
  <w:num w:numId="16">
    <w:abstractNumId w:val="28"/>
  </w:num>
  <w:num w:numId="17">
    <w:abstractNumId w:val="15"/>
  </w:num>
  <w:num w:numId="18">
    <w:abstractNumId w:val="30"/>
  </w:num>
  <w:num w:numId="19">
    <w:abstractNumId w:val="12"/>
  </w:num>
  <w:num w:numId="20">
    <w:abstractNumId w:val="18"/>
  </w:num>
  <w:num w:numId="21">
    <w:abstractNumId w:val="2"/>
  </w:num>
  <w:num w:numId="22">
    <w:abstractNumId w:val="0"/>
  </w:num>
  <w:num w:numId="23">
    <w:abstractNumId w:val="25"/>
  </w:num>
  <w:num w:numId="24">
    <w:abstractNumId w:val="26"/>
  </w:num>
  <w:num w:numId="25">
    <w:abstractNumId w:val="13"/>
  </w:num>
  <w:num w:numId="26">
    <w:abstractNumId w:val="23"/>
  </w:num>
  <w:num w:numId="27">
    <w:abstractNumId w:val="33"/>
  </w:num>
  <w:num w:numId="28">
    <w:abstractNumId w:val="20"/>
  </w:num>
  <w:num w:numId="29">
    <w:abstractNumId w:val="3"/>
  </w:num>
  <w:num w:numId="30">
    <w:abstractNumId w:val="34"/>
  </w:num>
  <w:num w:numId="31">
    <w:abstractNumId w:val="32"/>
  </w:num>
  <w:num w:numId="32">
    <w:abstractNumId w:val="24"/>
  </w:num>
  <w:num w:numId="33">
    <w:abstractNumId w:val="8"/>
  </w:num>
  <w:num w:numId="34">
    <w:abstractNumId w:val="4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74BEA"/>
    <w:rsid w:val="00116B9F"/>
    <w:rsid w:val="002170B5"/>
    <w:rsid w:val="00297EFB"/>
    <w:rsid w:val="00364992"/>
    <w:rsid w:val="003B1168"/>
    <w:rsid w:val="004B7B7C"/>
    <w:rsid w:val="005070A7"/>
    <w:rsid w:val="00676CB4"/>
    <w:rsid w:val="0083776F"/>
    <w:rsid w:val="009B70E6"/>
    <w:rsid w:val="009F26F8"/>
    <w:rsid w:val="00C74BEA"/>
    <w:rsid w:val="00D81B98"/>
    <w:rsid w:val="00E32FC2"/>
    <w:rsid w:val="00E455E0"/>
    <w:rsid w:val="00E56A7D"/>
    <w:rsid w:val="00F3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C74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49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49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BEA"/>
    <w:rPr>
      <w:b/>
      <w:bCs/>
    </w:rPr>
  </w:style>
  <w:style w:type="character" w:styleId="a4">
    <w:name w:val="Emphasis"/>
    <w:basedOn w:val="a0"/>
    <w:uiPriority w:val="20"/>
    <w:qFormat/>
    <w:rsid w:val="00C74BEA"/>
    <w:rPr>
      <w:i/>
      <w:iCs/>
    </w:rPr>
  </w:style>
  <w:style w:type="table" w:styleId="a5">
    <w:name w:val="Table Grid"/>
    <w:basedOn w:val="a1"/>
    <w:uiPriority w:val="39"/>
    <w:rsid w:val="00C7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6499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6499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6">
    <w:name w:val="Normal (Web)"/>
    <w:basedOn w:val="a"/>
    <w:uiPriority w:val="99"/>
    <w:semiHidden/>
    <w:unhideWhenUsed/>
    <w:rsid w:val="00E32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580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377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398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02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47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  <w:div w:id="397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01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64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900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6</cp:revision>
  <dcterms:created xsi:type="dcterms:W3CDTF">2026-08-22T05:52:00Z</dcterms:created>
  <dcterms:modified xsi:type="dcterms:W3CDTF">2026-08-31T03:01:00Z</dcterms:modified>
</cp:coreProperties>
</file>